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C681" w14:textId="77777777" w:rsidR="0082794B" w:rsidRPr="009E2D25" w:rsidRDefault="00C269CD" w:rsidP="00631D38">
      <w:pPr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 w:rsidRPr="009E2D25">
        <w:rPr>
          <w:rFonts w:asciiTheme="minorHAnsi" w:hAnsiTheme="minorHAnsi" w:cs="Times New Roman"/>
          <w:b/>
          <w:bCs/>
          <w:sz w:val="24"/>
          <w:szCs w:val="24"/>
        </w:rPr>
        <w:t>Clinical Assistant/Assistant</w:t>
      </w:r>
      <w:r w:rsidR="00CE40AA">
        <w:rPr>
          <w:rFonts w:asciiTheme="minorHAnsi" w:hAnsiTheme="minorHAnsi" w:cs="Times New Roman"/>
          <w:b/>
          <w:bCs/>
          <w:sz w:val="24"/>
          <w:szCs w:val="24"/>
        </w:rPr>
        <w:t>/Associate/</w:t>
      </w:r>
      <w:r w:rsidR="008253C4">
        <w:rPr>
          <w:rFonts w:asciiTheme="minorHAnsi" w:hAnsiTheme="minorHAnsi" w:cs="Times New Roman"/>
          <w:b/>
          <w:bCs/>
          <w:sz w:val="24"/>
          <w:szCs w:val="24"/>
        </w:rPr>
        <w:t xml:space="preserve">Full </w:t>
      </w:r>
      <w:r w:rsidR="00D2610C" w:rsidRPr="009E2D25">
        <w:rPr>
          <w:rFonts w:asciiTheme="minorHAnsi" w:hAnsiTheme="minorHAnsi" w:cs="Times New Roman"/>
          <w:b/>
          <w:bCs/>
          <w:sz w:val="24"/>
          <w:szCs w:val="24"/>
        </w:rPr>
        <w:t>Professo</w:t>
      </w:r>
      <w:r w:rsidR="00DC4E12" w:rsidRPr="009E2D25">
        <w:rPr>
          <w:rFonts w:asciiTheme="minorHAnsi" w:hAnsiTheme="minorHAnsi" w:cs="Times New Roman"/>
          <w:b/>
          <w:bCs/>
          <w:sz w:val="24"/>
          <w:szCs w:val="24"/>
        </w:rPr>
        <w:t>r (non-tenure track</w:t>
      </w:r>
      <w:r w:rsidR="0082794B" w:rsidRPr="009E2D25">
        <w:rPr>
          <w:rFonts w:asciiTheme="minorHAnsi" w:hAnsiTheme="minorHAnsi" w:cs="Times New Roman"/>
          <w:b/>
          <w:bCs/>
          <w:sz w:val="24"/>
          <w:szCs w:val="24"/>
        </w:rPr>
        <w:t>)</w:t>
      </w:r>
    </w:p>
    <w:p w14:paraId="3C5A3355" w14:textId="3DA968C8" w:rsidR="0082794B" w:rsidRPr="009E2D25" w:rsidRDefault="004769A6" w:rsidP="00FE69F9">
      <w:pPr>
        <w:jc w:val="center"/>
        <w:outlineLvl w:val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Transitions </w:t>
      </w:r>
      <w:r w:rsidR="00E24B87">
        <w:rPr>
          <w:rFonts w:asciiTheme="minorHAnsi" w:hAnsiTheme="minorHAnsi" w:cs="Times New Roman"/>
          <w:b/>
          <w:bCs/>
          <w:sz w:val="24"/>
          <w:szCs w:val="24"/>
        </w:rPr>
        <w:t>of</w:t>
      </w:r>
      <w:r>
        <w:rPr>
          <w:rFonts w:asciiTheme="minorHAnsi" w:hAnsiTheme="minorHAnsi" w:cs="Times New Roman"/>
          <w:b/>
          <w:bCs/>
          <w:sz w:val="24"/>
          <w:szCs w:val="24"/>
        </w:rPr>
        <w:t xml:space="preserve"> Care Management</w:t>
      </w:r>
      <w:r w:rsidR="00E66C7F" w:rsidRPr="009E2D25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</w:p>
    <w:p w14:paraId="6B701014" w14:textId="77777777" w:rsidR="0082794B" w:rsidRPr="00F32CB6" w:rsidRDefault="0082794B" w:rsidP="00631D38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Department of Pharmacy:  Clinical and Administrative Sciences</w:t>
      </w:r>
    </w:p>
    <w:p w14:paraId="4525C50E" w14:textId="77777777" w:rsidR="00D2610C" w:rsidRPr="00F32CB6" w:rsidRDefault="00D2610C" w:rsidP="00631D38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F32CB6">
            <w:rPr>
              <w:rFonts w:asciiTheme="minorHAnsi" w:hAnsiTheme="minorHAnsi" w:cs="Times New Roman"/>
              <w:bCs/>
              <w:sz w:val="24"/>
              <w:szCs w:val="24"/>
            </w:rPr>
            <w:t>College</w:t>
          </w:r>
        </w:smartTag>
        <w:r w:rsidRPr="00F32CB6">
          <w:rPr>
            <w:rFonts w:asciiTheme="minorHAnsi" w:hAnsiTheme="minorHAnsi" w:cs="Times New Roman"/>
            <w:bCs/>
            <w:sz w:val="24"/>
            <w:szCs w:val="24"/>
          </w:rPr>
          <w:t xml:space="preserve"> of </w:t>
        </w:r>
        <w:smartTag w:uri="urn:schemas-microsoft-com:office:smarttags" w:element="PlaceName">
          <w:r w:rsidRPr="00F32CB6">
            <w:rPr>
              <w:rFonts w:asciiTheme="minorHAnsi" w:hAnsiTheme="minorHAnsi" w:cs="Times New Roman"/>
              <w:bCs/>
              <w:sz w:val="24"/>
              <w:szCs w:val="24"/>
            </w:rPr>
            <w:t>Pharmacy</w:t>
          </w:r>
        </w:smartTag>
      </w:smartTag>
    </w:p>
    <w:p w14:paraId="5505723E" w14:textId="16C91598" w:rsidR="00EA5DB7" w:rsidRPr="00F32CB6" w:rsidRDefault="00D2610C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The University of Oklahoma Health Science</w:t>
      </w:r>
      <w:r w:rsidR="000B0A51">
        <w:rPr>
          <w:rFonts w:asciiTheme="minorHAnsi" w:hAnsiTheme="minorHAnsi" w:cs="Times New Roman"/>
          <w:bCs/>
          <w:sz w:val="24"/>
          <w:szCs w:val="24"/>
        </w:rPr>
        <w:t>s</w:t>
      </w:r>
      <w:bookmarkStart w:id="0" w:name="_GoBack"/>
      <w:bookmarkEnd w:id="0"/>
      <w:r w:rsidRPr="00F32CB6">
        <w:rPr>
          <w:rFonts w:asciiTheme="minorHAnsi" w:hAnsiTheme="minorHAnsi" w:cs="Times New Roman"/>
          <w:bCs/>
          <w:sz w:val="24"/>
          <w:szCs w:val="24"/>
        </w:rPr>
        <w:t xml:space="preserve"> Center</w:t>
      </w:r>
    </w:p>
    <w:p w14:paraId="4CFC8B4A" w14:textId="77777777" w:rsidR="009C44BD" w:rsidRPr="00F32CB6" w:rsidRDefault="009C44BD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  <w:r w:rsidRPr="00F32CB6">
        <w:rPr>
          <w:rFonts w:asciiTheme="minorHAnsi" w:hAnsiTheme="minorHAnsi" w:cs="Times New Roman"/>
          <w:bCs/>
          <w:sz w:val="24"/>
          <w:szCs w:val="24"/>
        </w:rPr>
        <w:t>Oklahoma City</w:t>
      </w:r>
    </w:p>
    <w:p w14:paraId="0F787CC3" w14:textId="77777777" w:rsidR="009C44BD" w:rsidRPr="00F32CB6" w:rsidRDefault="009C44BD" w:rsidP="009C44BD">
      <w:pPr>
        <w:jc w:val="center"/>
        <w:outlineLvl w:val="0"/>
        <w:rPr>
          <w:rFonts w:asciiTheme="minorHAnsi" w:hAnsiTheme="minorHAnsi" w:cs="Times New Roman"/>
          <w:bCs/>
          <w:sz w:val="24"/>
          <w:szCs w:val="24"/>
        </w:rPr>
      </w:pPr>
    </w:p>
    <w:p w14:paraId="1C570761" w14:textId="6662628F" w:rsidR="00F32CB6" w:rsidRDefault="00F32CB6" w:rsidP="00F32CB6">
      <w:pPr>
        <w:pStyle w:val="BodyText"/>
        <w:rPr>
          <w:rFonts w:ascii="Calibri" w:hAnsi="Calibri"/>
          <w:szCs w:val="24"/>
        </w:rPr>
      </w:pPr>
      <w:r w:rsidRPr="00F32CB6">
        <w:rPr>
          <w:rFonts w:ascii="Calibri" w:hAnsi="Calibri"/>
          <w:szCs w:val="24"/>
        </w:rPr>
        <w:t>The University of Oklahoma College of Ph</w:t>
      </w:r>
      <w:r w:rsidR="004A1928">
        <w:rPr>
          <w:rFonts w:ascii="Calibri" w:hAnsi="Calibri"/>
          <w:szCs w:val="24"/>
        </w:rPr>
        <w:t xml:space="preserve">armacy invites applicants for </w:t>
      </w:r>
      <w:r w:rsidR="004769A6">
        <w:rPr>
          <w:rFonts w:ascii="Calibri" w:hAnsi="Calibri"/>
          <w:szCs w:val="24"/>
        </w:rPr>
        <w:t>a</w:t>
      </w:r>
      <w:r w:rsidR="004A1928">
        <w:rPr>
          <w:rFonts w:ascii="Calibri" w:hAnsi="Calibri"/>
          <w:szCs w:val="24"/>
        </w:rPr>
        <w:t xml:space="preserve"> </w:t>
      </w:r>
      <w:r w:rsidR="009D18E7">
        <w:rPr>
          <w:rFonts w:ascii="Calibri" w:hAnsi="Calibri"/>
          <w:szCs w:val="24"/>
        </w:rPr>
        <w:t xml:space="preserve">12-month, </w:t>
      </w:r>
      <w:r w:rsidRPr="00F32CB6">
        <w:rPr>
          <w:rFonts w:ascii="Calibri" w:hAnsi="Calibri"/>
          <w:szCs w:val="24"/>
        </w:rPr>
        <w:t xml:space="preserve">non-tenure </w:t>
      </w:r>
      <w:r w:rsidR="009E2D25">
        <w:rPr>
          <w:rFonts w:ascii="Calibri" w:hAnsi="Calibri"/>
          <w:szCs w:val="24"/>
        </w:rPr>
        <w:t xml:space="preserve">track faculty </w:t>
      </w:r>
      <w:r w:rsidRPr="00F32CB6">
        <w:rPr>
          <w:rFonts w:ascii="Calibri" w:hAnsi="Calibri"/>
          <w:szCs w:val="24"/>
        </w:rPr>
        <w:t>appointment</w:t>
      </w:r>
      <w:r w:rsidR="00F75BC1">
        <w:rPr>
          <w:rFonts w:ascii="Calibri" w:hAnsi="Calibri"/>
          <w:szCs w:val="24"/>
        </w:rPr>
        <w:t>s</w:t>
      </w:r>
      <w:r w:rsidRPr="00F32CB6">
        <w:rPr>
          <w:rFonts w:ascii="Calibri" w:hAnsi="Calibri"/>
          <w:szCs w:val="24"/>
        </w:rPr>
        <w:t xml:space="preserve"> </w:t>
      </w:r>
      <w:r w:rsidR="009D18E7">
        <w:rPr>
          <w:rFonts w:ascii="Calibri" w:hAnsi="Calibri"/>
          <w:szCs w:val="24"/>
        </w:rPr>
        <w:t>at the rank of Clinical Assistant</w:t>
      </w:r>
      <w:r w:rsidR="00CE40AA">
        <w:rPr>
          <w:rFonts w:ascii="Calibri" w:hAnsi="Calibri"/>
          <w:szCs w:val="24"/>
        </w:rPr>
        <w:t>,</w:t>
      </w:r>
      <w:r w:rsidR="009D18E7">
        <w:rPr>
          <w:rFonts w:ascii="Calibri" w:hAnsi="Calibri"/>
          <w:szCs w:val="24"/>
        </w:rPr>
        <w:t xml:space="preserve"> Assistant</w:t>
      </w:r>
      <w:r w:rsidR="00CE40AA">
        <w:rPr>
          <w:rFonts w:ascii="Calibri" w:hAnsi="Calibri"/>
          <w:szCs w:val="24"/>
        </w:rPr>
        <w:t>, Associate, or Full</w:t>
      </w:r>
      <w:r w:rsidR="009D18E7">
        <w:rPr>
          <w:rFonts w:ascii="Calibri" w:hAnsi="Calibri"/>
          <w:szCs w:val="24"/>
        </w:rPr>
        <w:t xml:space="preserve"> Professor </w:t>
      </w:r>
      <w:r w:rsidR="00C269CD">
        <w:rPr>
          <w:rFonts w:ascii="Calibri" w:hAnsi="Calibri" w:cs="Calibri"/>
        </w:rPr>
        <w:t>to</w:t>
      </w:r>
      <w:r w:rsidR="006E2C6B">
        <w:rPr>
          <w:rFonts w:ascii="Calibri" w:hAnsi="Calibri" w:cs="Calibri"/>
        </w:rPr>
        <w:t xml:space="preserve"> provide direct patient care in</w:t>
      </w:r>
      <w:r w:rsidR="00C269CD">
        <w:rPr>
          <w:rFonts w:ascii="Calibri" w:hAnsi="Calibri" w:cs="Calibri"/>
        </w:rPr>
        <w:t xml:space="preserve"> support</w:t>
      </w:r>
      <w:r w:rsidR="006E2C6B">
        <w:rPr>
          <w:rFonts w:ascii="Calibri" w:hAnsi="Calibri" w:cs="Calibri"/>
        </w:rPr>
        <w:t xml:space="preserve"> of</w:t>
      </w:r>
      <w:r w:rsidR="00C269CD">
        <w:rPr>
          <w:rFonts w:ascii="Calibri" w:hAnsi="Calibri" w:cs="Calibri"/>
        </w:rPr>
        <w:t xml:space="preserve"> </w:t>
      </w:r>
      <w:r w:rsidR="006E2C6B">
        <w:rPr>
          <w:rFonts w:ascii="Calibri" w:hAnsi="Calibri" w:cs="Calibri"/>
        </w:rPr>
        <w:t xml:space="preserve">comprehensive </w:t>
      </w:r>
      <w:r w:rsidR="004769A6">
        <w:rPr>
          <w:rFonts w:ascii="Calibri" w:hAnsi="Calibri" w:cs="Calibri"/>
        </w:rPr>
        <w:t xml:space="preserve">transitions </w:t>
      </w:r>
      <w:r w:rsidR="00E24B87">
        <w:rPr>
          <w:rFonts w:ascii="Calibri" w:hAnsi="Calibri" w:cs="Calibri"/>
        </w:rPr>
        <w:t>of</w:t>
      </w:r>
      <w:r w:rsidR="004769A6">
        <w:rPr>
          <w:rFonts w:ascii="Calibri" w:hAnsi="Calibri" w:cs="Calibri"/>
        </w:rPr>
        <w:t xml:space="preserve"> care</w:t>
      </w:r>
      <w:r w:rsidR="00C269CD" w:rsidRPr="006F5095">
        <w:rPr>
          <w:rFonts w:ascii="Calibri" w:hAnsi="Calibri" w:cs="Calibri"/>
        </w:rPr>
        <w:t xml:space="preserve"> services</w:t>
      </w:r>
      <w:r w:rsidR="00A66226">
        <w:rPr>
          <w:rFonts w:ascii="Calibri" w:hAnsi="Calibri"/>
          <w:szCs w:val="24"/>
        </w:rPr>
        <w:t xml:space="preserve"> </w:t>
      </w:r>
      <w:r w:rsidR="00F75BC1">
        <w:rPr>
          <w:rFonts w:ascii="Calibri" w:hAnsi="Calibri"/>
          <w:szCs w:val="24"/>
        </w:rPr>
        <w:t>in</w:t>
      </w:r>
      <w:r w:rsidR="00A66226">
        <w:rPr>
          <w:rFonts w:ascii="Calibri" w:hAnsi="Calibri"/>
          <w:szCs w:val="24"/>
        </w:rPr>
        <w:t xml:space="preserve"> Oklahoma City. </w:t>
      </w:r>
      <w:r w:rsidRPr="00F32CB6">
        <w:rPr>
          <w:rFonts w:ascii="Calibri" w:hAnsi="Calibri"/>
          <w:szCs w:val="24"/>
        </w:rPr>
        <w:t xml:space="preserve">Applicants are expected to develop scholarship in the area of </w:t>
      </w:r>
      <w:r w:rsidR="00C30D45">
        <w:rPr>
          <w:rFonts w:asciiTheme="minorHAnsi" w:hAnsiTheme="minorHAnsi"/>
          <w:szCs w:val="24"/>
        </w:rPr>
        <w:t>care transitions</w:t>
      </w:r>
      <w:r w:rsidR="00C269CD">
        <w:rPr>
          <w:rFonts w:ascii="Calibri" w:hAnsi="Calibri"/>
          <w:szCs w:val="24"/>
        </w:rPr>
        <w:t xml:space="preserve">, participate in collaborative research, </w:t>
      </w:r>
      <w:r w:rsidRPr="00F32CB6">
        <w:rPr>
          <w:rFonts w:ascii="Calibri" w:hAnsi="Calibri"/>
          <w:szCs w:val="24"/>
        </w:rPr>
        <w:t>and to develop and provide didactic, laboratory, and experiential training and education to doctor of pharmacy and graduate students, and pharmacy pra</w:t>
      </w:r>
      <w:r w:rsidR="00A66226">
        <w:rPr>
          <w:rFonts w:ascii="Calibri" w:hAnsi="Calibri"/>
          <w:szCs w:val="24"/>
        </w:rPr>
        <w:t xml:space="preserve">ctice and specialty residents. </w:t>
      </w:r>
      <w:r w:rsidRPr="00F32CB6">
        <w:rPr>
          <w:rFonts w:ascii="Calibri" w:hAnsi="Calibri"/>
          <w:szCs w:val="24"/>
        </w:rPr>
        <w:t>Responsibilities include supporting the College of Pharmacy mission and goals through classroom learning opportunities and professional, community, and u</w:t>
      </w:r>
      <w:r w:rsidR="00A66226">
        <w:rPr>
          <w:rFonts w:ascii="Calibri" w:hAnsi="Calibri"/>
          <w:szCs w:val="24"/>
        </w:rPr>
        <w:t xml:space="preserve">niversity service. </w:t>
      </w:r>
      <w:r w:rsidRPr="00F32CB6">
        <w:rPr>
          <w:rFonts w:ascii="Calibri" w:hAnsi="Calibri"/>
          <w:szCs w:val="24"/>
        </w:rPr>
        <w:t>OUHSC is a comprehensive academic health science center with seven professional colleges, affiliated hospitals, clinics, and research institutes near the Oklahoma City campus.</w:t>
      </w:r>
    </w:p>
    <w:p w14:paraId="51C2D31A" w14:textId="77777777" w:rsidR="00F32CB6" w:rsidRPr="00F32CB6" w:rsidRDefault="00F32CB6" w:rsidP="00F32CB6">
      <w:pPr>
        <w:pStyle w:val="BodyText"/>
        <w:rPr>
          <w:rFonts w:ascii="Calibri" w:hAnsi="Calibri"/>
          <w:szCs w:val="24"/>
        </w:rPr>
      </w:pPr>
    </w:p>
    <w:p w14:paraId="3A29757F" w14:textId="1706798C" w:rsidR="00B66D69" w:rsidRPr="00F32CB6" w:rsidRDefault="00F32CB6" w:rsidP="00F32CB6">
      <w:pPr>
        <w:jc w:val="both"/>
        <w:outlineLvl w:val="0"/>
        <w:rPr>
          <w:rFonts w:asciiTheme="minorHAnsi" w:hAnsiTheme="minorHAnsi" w:cs="Times New Roman"/>
          <w:sz w:val="24"/>
          <w:szCs w:val="24"/>
        </w:rPr>
      </w:pPr>
      <w:r w:rsidRPr="00F32CB6">
        <w:rPr>
          <w:rFonts w:ascii="Calibri" w:hAnsi="Calibri"/>
          <w:sz w:val="24"/>
          <w:szCs w:val="24"/>
        </w:rPr>
        <w:t xml:space="preserve">Candidates must possess a Doctor of Pharmacy degree from an ACPE-accredited program and have completed </w:t>
      </w:r>
      <w:r w:rsidR="00CD6002">
        <w:rPr>
          <w:rFonts w:ascii="Calibri" w:hAnsi="Calibri"/>
          <w:sz w:val="24"/>
          <w:szCs w:val="24"/>
        </w:rPr>
        <w:t xml:space="preserve">a </w:t>
      </w:r>
      <w:r w:rsidR="005C363C">
        <w:rPr>
          <w:rFonts w:ascii="Calibri" w:hAnsi="Calibri"/>
          <w:sz w:val="24"/>
          <w:szCs w:val="24"/>
        </w:rPr>
        <w:t xml:space="preserve">postgraduate year one </w:t>
      </w:r>
      <w:r w:rsidRPr="00F32CB6">
        <w:rPr>
          <w:rFonts w:ascii="Calibri" w:hAnsi="Calibri"/>
          <w:sz w:val="24"/>
          <w:szCs w:val="24"/>
        </w:rPr>
        <w:t>(PGY1) and</w:t>
      </w:r>
      <w:r w:rsidR="005C363C">
        <w:rPr>
          <w:rFonts w:ascii="Calibri" w:hAnsi="Calibri"/>
          <w:sz w:val="24"/>
          <w:szCs w:val="24"/>
        </w:rPr>
        <w:t xml:space="preserve"> postgraduate year two</w:t>
      </w:r>
      <w:r w:rsidR="003416E7">
        <w:rPr>
          <w:rFonts w:ascii="Calibri" w:hAnsi="Calibri"/>
          <w:sz w:val="24"/>
          <w:szCs w:val="24"/>
        </w:rPr>
        <w:t xml:space="preserve"> </w:t>
      </w:r>
      <w:r w:rsidRPr="00F32CB6">
        <w:rPr>
          <w:rFonts w:ascii="Calibri" w:hAnsi="Calibri"/>
          <w:sz w:val="24"/>
          <w:szCs w:val="24"/>
        </w:rPr>
        <w:t xml:space="preserve">(PGY2) residency </w:t>
      </w:r>
      <w:r w:rsidR="00CD6002">
        <w:rPr>
          <w:rFonts w:ascii="Calibri" w:hAnsi="Calibri"/>
          <w:sz w:val="24"/>
          <w:szCs w:val="24"/>
        </w:rPr>
        <w:t>in ambulatory care</w:t>
      </w:r>
      <w:r w:rsidR="004E707D">
        <w:rPr>
          <w:rFonts w:ascii="Calibri" w:hAnsi="Calibri"/>
          <w:sz w:val="24"/>
          <w:szCs w:val="24"/>
        </w:rPr>
        <w:t>,</w:t>
      </w:r>
      <w:r w:rsidR="00DD3F31">
        <w:rPr>
          <w:rFonts w:ascii="Calibri" w:hAnsi="Calibri"/>
          <w:sz w:val="24"/>
          <w:szCs w:val="24"/>
        </w:rPr>
        <w:t>, two-year pharmacotherapy residency, or equivalent post-graduate experience</w:t>
      </w:r>
      <w:r w:rsidRPr="009D18E7">
        <w:rPr>
          <w:rFonts w:ascii="Calibri" w:hAnsi="Calibri"/>
          <w:sz w:val="24"/>
          <w:szCs w:val="24"/>
        </w:rPr>
        <w:t>.</w:t>
      </w:r>
      <w:r w:rsidR="00A66226">
        <w:rPr>
          <w:rFonts w:ascii="Calibri" w:hAnsi="Calibri"/>
          <w:sz w:val="24"/>
          <w:szCs w:val="24"/>
        </w:rPr>
        <w:t xml:space="preserve"> </w:t>
      </w:r>
      <w:r w:rsidRPr="00F32CB6">
        <w:rPr>
          <w:rFonts w:ascii="Calibri" w:hAnsi="Calibri"/>
          <w:sz w:val="24"/>
          <w:szCs w:val="24"/>
        </w:rPr>
        <w:t>Candidates must be eligible to obtain an unrestricted Oklahoma pharmac</w:t>
      </w:r>
      <w:r w:rsidR="00C30D45">
        <w:rPr>
          <w:rFonts w:ascii="Calibri" w:hAnsi="Calibri"/>
          <w:sz w:val="24"/>
          <w:szCs w:val="24"/>
        </w:rPr>
        <w:t xml:space="preserve">ist and preceptor’s licenses. </w:t>
      </w:r>
      <w:r w:rsidRPr="00F32CB6">
        <w:rPr>
          <w:rFonts w:ascii="Calibri" w:hAnsi="Calibri"/>
          <w:sz w:val="24"/>
          <w:szCs w:val="24"/>
        </w:rPr>
        <w:t xml:space="preserve">Preferred qualifications include board certification in </w:t>
      </w:r>
      <w:r w:rsidR="00CD6002">
        <w:rPr>
          <w:rFonts w:asciiTheme="minorHAnsi" w:hAnsiTheme="minorHAnsi"/>
          <w:sz w:val="24"/>
          <w:szCs w:val="24"/>
        </w:rPr>
        <w:t>pharmacotherapy</w:t>
      </w:r>
      <w:r w:rsidR="00DD3F31">
        <w:rPr>
          <w:rFonts w:asciiTheme="minorHAnsi" w:hAnsiTheme="minorHAnsi"/>
          <w:sz w:val="24"/>
          <w:szCs w:val="24"/>
        </w:rPr>
        <w:t xml:space="preserve"> (BCPS)</w:t>
      </w:r>
      <w:r w:rsidR="00C269CD">
        <w:rPr>
          <w:rFonts w:ascii="Calibri" w:hAnsi="Calibri"/>
          <w:sz w:val="24"/>
          <w:szCs w:val="24"/>
        </w:rPr>
        <w:t xml:space="preserve"> </w:t>
      </w:r>
      <w:r w:rsidR="00CD6002">
        <w:rPr>
          <w:rFonts w:ascii="Calibri" w:hAnsi="Calibri"/>
          <w:sz w:val="24"/>
          <w:szCs w:val="24"/>
        </w:rPr>
        <w:t>or ambulatory care</w:t>
      </w:r>
      <w:r w:rsidR="00DD3F31">
        <w:rPr>
          <w:rFonts w:ascii="Calibri" w:hAnsi="Calibri"/>
          <w:sz w:val="24"/>
          <w:szCs w:val="24"/>
        </w:rPr>
        <w:t xml:space="preserve"> (BCACP)</w:t>
      </w:r>
      <w:r w:rsidR="00CD6002">
        <w:rPr>
          <w:rFonts w:ascii="Calibri" w:hAnsi="Calibri"/>
          <w:sz w:val="24"/>
          <w:szCs w:val="24"/>
        </w:rPr>
        <w:t xml:space="preserve"> </w:t>
      </w:r>
      <w:r w:rsidR="00C269CD">
        <w:rPr>
          <w:rFonts w:ascii="Calibri" w:hAnsi="Calibri"/>
          <w:sz w:val="24"/>
          <w:szCs w:val="24"/>
        </w:rPr>
        <w:t xml:space="preserve">and </w:t>
      </w:r>
      <w:r w:rsidRPr="00F32CB6">
        <w:rPr>
          <w:rFonts w:ascii="Calibri" w:hAnsi="Calibri"/>
          <w:sz w:val="24"/>
          <w:szCs w:val="24"/>
        </w:rPr>
        <w:t xml:space="preserve">experience in classroom teaching, small group discussions, and </w:t>
      </w:r>
      <w:proofErr w:type="spellStart"/>
      <w:r w:rsidRPr="00F32CB6">
        <w:rPr>
          <w:rFonts w:ascii="Calibri" w:hAnsi="Calibri"/>
          <w:sz w:val="24"/>
          <w:szCs w:val="24"/>
        </w:rPr>
        <w:t>preceptin</w:t>
      </w:r>
      <w:r w:rsidR="00A66226">
        <w:rPr>
          <w:rFonts w:ascii="Calibri" w:hAnsi="Calibri"/>
          <w:sz w:val="24"/>
          <w:szCs w:val="24"/>
        </w:rPr>
        <w:t>g</w:t>
      </w:r>
      <w:proofErr w:type="spellEnd"/>
      <w:r w:rsidR="00A66226">
        <w:rPr>
          <w:rFonts w:ascii="Calibri" w:hAnsi="Calibri"/>
          <w:sz w:val="24"/>
          <w:szCs w:val="24"/>
        </w:rPr>
        <w:t xml:space="preserve"> doctor of pharmacy students. </w:t>
      </w:r>
      <w:r w:rsidRPr="00F32CB6">
        <w:rPr>
          <w:rFonts w:ascii="Calibri" w:hAnsi="Calibri"/>
          <w:sz w:val="24"/>
          <w:szCs w:val="24"/>
        </w:rPr>
        <w:t>Candidates must pass a criminal background check</w:t>
      </w:r>
      <w:r w:rsidR="00A66226">
        <w:rPr>
          <w:rFonts w:ascii="Calibri" w:hAnsi="Calibri"/>
          <w:sz w:val="24"/>
          <w:szCs w:val="24"/>
        </w:rPr>
        <w:t xml:space="preserve"> and meet eligibility requirements for health system credentialing. </w:t>
      </w:r>
      <w:r w:rsidRPr="00F32CB6">
        <w:rPr>
          <w:rFonts w:ascii="Calibri" w:hAnsi="Calibri"/>
          <w:sz w:val="24"/>
          <w:szCs w:val="24"/>
        </w:rPr>
        <w:t>Salary and academic appointment will be</w:t>
      </w:r>
      <w:r w:rsidR="00A66226">
        <w:rPr>
          <w:rFonts w:ascii="Calibri" w:hAnsi="Calibri"/>
          <w:sz w:val="24"/>
          <w:szCs w:val="24"/>
        </w:rPr>
        <w:t xml:space="preserve"> commensurate with experience. </w:t>
      </w:r>
      <w:r w:rsidRPr="00F32CB6">
        <w:rPr>
          <w:rFonts w:ascii="Calibri" w:hAnsi="Calibri"/>
          <w:sz w:val="24"/>
          <w:szCs w:val="24"/>
        </w:rPr>
        <w:t xml:space="preserve">Applications will be received until </w:t>
      </w:r>
      <w:r w:rsidR="009A145F">
        <w:rPr>
          <w:rFonts w:ascii="Calibri" w:hAnsi="Calibri"/>
          <w:sz w:val="24"/>
          <w:szCs w:val="24"/>
        </w:rPr>
        <w:t>the position</w:t>
      </w:r>
      <w:r w:rsidRPr="00F32CB6">
        <w:rPr>
          <w:rFonts w:ascii="Calibri" w:hAnsi="Calibri"/>
          <w:sz w:val="24"/>
          <w:szCs w:val="24"/>
        </w:rPr>
        <w:t xml:space="preserve"> </w:t>
      </w:r>
      <w:r w:rsidR="009A145F">
        <w:rPr>
          <w:rFonts w:ascii="Calibri" w:hAnsi="Calibri"/>
          <w:sz w:val="24"/>
          <w:szCs w:val="24"/>
        </w:rPr>
        <w:t>is</w:t>
      </w:r>
      <w:r w:rsidRPr="00F32CB6">
        <w:rPr>
          <w:rFonts w:ascii="Calibri" w:hAnsi="Calibri"/>
          <w:sz w:val="24"/>
          <w:szCs w:val="24"/>
        </w:rPr>
        <w:t xml:space="preserve"> filled.</w:t>
      </w:r>
      <w:r w:rsidR="00CE40AA">
        <w:rPr>
          <w:rFonts w:ascii="Calibri" w:hAnsi="Calibri"/>
          <w:sz w:val="24"/>
          <w:szCs w:val="24"/>
        </w:rPr>
        <w:t xml:space="preserve">  </w:t>
      </w:r>
      <w:r w:rsidR="00F75E83">
        <w:rPr>
          <w:rFonts w:ascii="Calibri" w:hAnsi="Calibri" w:cs="Calibri"/>
          <w:color w:val="000000"/>
          <w:sz w:val="24"/>
          <w:szCs w:val="24"/>
        </w:rPr>
        <w:t>Must be legally authorized to work in the United States without the need for employer sponsorship</w:t>
      </w:r>
      <w:r w:rsidR="00F75E83">
        <w:rPr>
          <w:rFonts w:ascii="Calibri" w:hAnsi="Calibri" w:cs="Calibri"/>
          <w:sz w:val="24"/>
          <w:szCs w:val="24"/>
        </w:rPr>
        <w:t>.</w:t>
      </w:r>
    </w:p>
    <w:p w14:paraId="638D55F0" w14:textId="77777777" w:rsidR="00E66C7F" w:rsidRPr="00F32CB6" w:rsidRDefault="00E66C7F" w:rsidP="00CF4157">
      <w:pPr>
        <w:jc w:val="both"/>
        <w:rPr>
          <w:rFonts w:asciiTheme="minorHAnsi" w:hAnsiTheme="minorHAnsi"/>
          <w:sz w:val="24"/>
          <w:szCs w:val="24"/>
        </w:rPr>
      </w:pPr>
    </w:p>
    <w:p w14:paraId="4026B8FF" w14:textId="77777777" w:rsidR="009C44BD" w:rsidRPr="00F32CB6" w:rsidRDefault="00D2610C" w:rsidP="00C30D45">
      <w:pPr>
        <w:jc w:val="both"/>
        <w:rPr>
          <w:rFonts w:asciiTheme="minorHAnsi" w:hAnsiTheme="minorHAnsi" w:cs="Times New Roman"/>
          <w:sz w:val="24"/>
          <w:szCs w:val="24"/>
        </w:rPr>
      </w:pPr>
      <w:r w:rsidRPr="00F32CB6">
        <w:rPr>
          <w:rFonts w:asciiTheme="minorHAnsi" w:hAnsiTheme="minorHAnsi" w:cs="Times New Roman"/>
          <w:sz w:val="24"/>
          <w:szCs w:val="24"/>
        </w:rPr>
        <w:t xml:space="preserve">Interested applicants should submit </w:t>
      </w:r>
      <w:r w:rsidR="009D18E7">
        <w:rPr>
          <w:rFonts w:asciiTheme="minorHAnsi" w:hAnsiTheme="minorHAnsi" w:cs="Times New Roman"/>
          <w:sz w:val="24"/>
          <w:szCs w:val="24"/>
        </w:rPr>
        <w:t xml:space="preserve">a letter of interest, </w:t>
      </w:r>
      <w:r w:rsidR="009E2D25">
        <w:rPr>
          <w:rFonts w:asciiTheme="minorHAnsi" w:hAnsiTheme="minorHAnsi" w:cs="Times New Roman"/>
          <w:sz w:val="24"/>
          <w:szCs w:val="24"/>
        </w:rPr>
        <w:t xml:space="preserve">complete curriculum vitae, </w:t>
      </w:r>
      <w:r w:rsidRPr="00F32CB6">
        <w:rPr>
          <w:rFonts w:asciiTheme="minorHAnsi" w:hAnsiTheme="minorHAnsi" w:cs="Times New Roman"/>
          <w:sz w:val="24"/>
          <w:szCs w:val="24"/>
        </w:rPr>
        <w:t xml:space="preserve">description of clinical interests, and names of three references </w:t>
      </w:r>
      <w:r w:rsidR="009D18E7">
        <w:rPr>
          <w:rFonts w:asciiTheme="minorHAnsi" w:hAnsiTheme="minorHAnsi" w:cs="Times New Roman"/>
          <w:sz w:val="24"/>
          <w:szCs w:val="24"/>
        </w:rPr>
        <w:t xml:space="preserve">with contact information </w:t>
      </w:r>
      <w:r w:rsidR="00C30D45">
        <w:rPr>
          <w:rFonts w:asciiTheme="minorHAnsi" w:hAnsiTheme="minorHAnsi" w:cs="Times New Roman"/>
          <w:sz w:val="24"/>
          <w:szCs w:val="24"/>
        </w:rPr>
        <w:t xml:space="preserve">(identify </w:t>
      </w:r>
      <w:r w:rsidRPr="00F32CB6">
        <w:rPr>
          <w:rFonts w:asciiTheme="minorHAnsi" w:hAnsiTheme="minorHAnsi" w:cs="Times New Roman"/>
          <w:sz w:val="24"/>
          <w:szCs w:val="24"/>
        </w:rPr>
        <w:t xml:space="preserve">relationships, address, </w:t>
      </w:r>
      <w:r w:rsidR="009E2D25">
        <w:rPr>
          <w:rFonts w:asciiTheme="minorHAnsi" w:hAnsiTheme="minorHAnsi" w:cs="Times New Roman"/>
          <w:sz w:val="24"/>
          <w:szCs w:val="24"/>
        </w:rPr>
        <w:t>phone/fax/email).</w:t>
      </w:r>
      <w:r w:rsidR="009C44BD" w:rsidRPr="00F32CB6">
        <w:rPr>
          <w:rFonts w:asciiTheme="minorHAnsi" w:hAnsiTheme="minorHAnsi" w:cs="Times New Roman"/>
          <w:sz w:val="24"/>
          <w:szCs w:val="24"/>
        </w:rPr>
        <w:tab/>
      </w:r>
    </w:p>
    <w:p w14:paraId="2893DC30" w14:textId="77777777" w:rsidR="00CF4157" w:rsidRDefault="00CF4157" w:rsidP="00CF4157">
      <w:pPr>
        <w:rPr>
          <w:rFonts w:ascii="Calibri" w:hAnsi="Calibri"/>
          <w:szCs w:val="24"/>
        </w:rPr>
      </w:pPr>
    </w:p>
    <w:p w14:paraId="4B72F734" w14:textId="77777777" w:rsidR="009D18E7" w:rsidRPr="009D18E7" w:rsidRDefault="009D18E7" w:rsidP="009D18E7">
      <w:pPr>
        <w:jc w:val="center"/>
        <w:rPr>
          <w:rFonts w:ascii="Calibri" w:hAnsi="Calibri"/>
          <w:b/>
          <w:szCs w:val="24"/>
        </w:rPr>
      </w:pPr>
      <w:r w:rsidRPr="009D18E7">
        <w:rPr>
          <w:rFonts w:ascii="Calibri" w:hAnsi="Calibri"/>
          <w:b/>
          <w:szCs w:val="24"/>
        </w:rPr>
        <w:t>Contact Information</w:t>
      </w:r>
    </w:p>
    <w:p w14:paraId="14825099" w14:textId="77777777" w:rsidR="00F32CB6" w:rsidRPr="000828D0" w:rsidRDefault="00A66226" w:rsidP="009D18E7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Peter Johnson</w:t>
      </w:r>
      <w:r w:rsidR="00F32CB6" w:rsidRPr="000828D0">
        <w:rPr>
          <w:rFonts w:asciiTheme="minorHAnsi" w:hAnsiTheme="minorHAnsi"/>
          <w:szCs w:val="24"/>
        </w:rPr>
        <w:t>, Pharm.D.</w:t>
      </w:r>
      <w:r w:rsidR="009D18E7" w:rsidRPr="000828D0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BCPS, BCPPS, FPPAG, FCCM</w:t>
      </w:r>
    </w:p>
    <w:p w14:paraId="665AB4BA" w14:textId="77777777" w:rsidR="000828D0" w:rsidRPr="000828D0" w:rsidRDefault="000828D0" w:rsidP="000828D0">
      <w:pPr>
        <w:jc w:val="center"/>
        <w:rPr>
          <w:rFonts w:asciiTheme="minorHAnsi" w:hAnsiTheme="minorHAnsi"/>
          <w:bCs/>
        </w:rPr>
      </w:pPr>
      <w:r w:rsidRPr="000828D0">
        <w:rPr>
          <w:rFonts w:asciiTheme="minorHAnsi" w:hAnsiTheme="minorHAnsi"/>
          <w:bCs/>
        </w:rPr>
        <w:t>The University of Oklahoma College of Pharmacy</w:t>
      </w:r>
    </w:p>
    <w:p w14:paraId="40D437C9" w14:textId="77777777" w:rsidR="000828D0" w:rsidRPr="000828D0" w:rsidRDefault="000828D0" w:rsidP="000828D0">
      <w:pPr>
        <w:jc w:val="center"/>
        <w:rPr>
          <w:rFonts w:asciiTheme="minorHAnsi" w:hAnsiTheme="minorHAnsi"/>
          <w:bCs/>
        </w:rPr>
      </w:pPr>
      <w:r w:rsidRPr="000828D0">
        <w:rPr>
          <w:rFonts w:asciiTheme="minorHAnsi" w:hAnsiTheme="minorHAnsi"/>
          <w:bCs/>
        </w:rPr>
        <w:t>Department of Pharmacy:  Clinical and Administrative Sciences</w:t>
      </w:r>
    </w:p>
    <w:p w14:paraId="286CE94C" w14:textId="77777777" w:rsidR="00F32CB6" w:rsidRPr="000828D0" w:rsidRDefault="00F32FD4" w:rsidP="009D18E7">
      <w:pPr>
        <w:jc w:val="center"/>
        <w:rPr>
          <w:rFonts w:asciiTheme="minorHAnsi" w:hAnsiTheme="minorHAnsi"/>
          <w:szCs w:val="24"/>
        </w:rPr>
      </w:pPr>
      <w:r w:rsidRPr="000828D0">
        <w:rPr>
          <w:rFonts w:asciiTheme="minorHAnsi" w:hAnsiTheme="minorHAnsi"/>
          <w:szCs w:val="24"/>
        </w:rPr>
        <w:t>1110 N. Stonewall Avenue, Rm 206</w:t>
      </w:r>
    </w:p>
    <w:p w14:paraId="753EC2D3" w14:textId="77777777" w:rsidR="00F32CB6" w:rsidRPr="000828D0" w:rsidRDefault="009D18E7" w:rsidP="009D18E7">
      <w:pPr>
        <w:jc w:val="center"/>
        <w:rPr>
          <w:rFonts w:asciiTheme="minorHAnsi" w:hAnsiTheme="minorHAnsi"/>
          <w:szCs w:val="24"/>
        </w:rPr>
      </w:pPr>
      <w:r w:rsidRPr="000828D0">
        <w:rPr>
          <w:rFonts w:asciiTheme="minorHAnsi" w:hAnsiTheme="minorHAnsi"/>
          <w:szCs w:val="24"/>
        </w:rPr>
        <w:t>Oklahoma City, OK 73126-0901</w:t>
      </w:r>
      <w:r w:rsidR="00F32CB6" w:rsidRPr="000828D0">
        <w:rPr>
          <w:rFonts w:asciiTheme="minorHAnsi" w:hAnsiTheme="minorHAnsi"/>
          <w:szCs w:val="24"/>
        </w:rPr>
        <w:br/>
        <w:t xml:space="preserve">Phone: (405) </w:t>
      </w:r>
      <w:r w:rsidRPr="000828D0">
        <w:rPr>
          <w:rFonts w:asciiTheme="minorHAnsi" w:hAnsiTheme="minorHAnsi"/>
          <w:szCs w:val="24"/>
        </w:rPr>
        <w:t>271-6878</w:t>
      </w:r>
      <w:r w:rsidR="009E2D25" w:rsidRPr="000828D0">
        <w:rPr>
          <w:rFonts w:asciiTheme="minorHAnsi" w:hAnsiTheme="minorHAnsi"/>
          <w:szCs w:val="24"/>
        </w:rPr>
        <w:t>, ext. 47</w:t>
      </w:r>
      <w:r w:rsidR="00075236">
        <w:rPr>
          <w:rFonts w:asciiTheme="minorHAnsi" w:hAnsiTheme="minorHAnsi"/>
          <w:szCs w:val="24"/>
        </w:rPr>
        <w:t>029</w:t>
      </w:r>
      <w:r w:rsidRPr="000828D0">
        <w:rPr>
          <w:rFonts w:asciiTheme="minorHAnsi" w:hAnsiTheme="minorHAnsi"/>
          <w:szCs w:val="24"/>
        </w:rPr>
        <w:t xml:space="preserve">   Fax: (405) 271-6430</w:t>
      </w:r>
    </w:p>
    <w:p w14:paraId="03C51E07" w14:textId="77777777" w:rsidR="00F32CB6" w:rsidRDefault="00F32CB6" w:rsidP="009D18E7">
      <w:pPr>
        <w:jc w:val="center"/>
        <w:rPr>
          <w:rFonts w:ascii="Calibri" w:hAnsi="Calibri"/>
          <w:color w:val="0000FF"/>
          <w:szCs w:val="24"/>
        </w:rPr>
      </w:pPr>
      <w:r w:rsidRPr="00F32CB6">
        <w:rPr>
          <w:rFonts w:ascii="Calibri" w:hAnsi="Calibri"/>
          <w:szCs w:val="24"/>
        </w:rPr>
        <w:t>Email:</w:t>
      </w:r>
      <w:r w:rsidRPr="00F32CB6">
        <w:rPr>
          <w:rFonts w:ascii="Calibri" w:hAnsi="Calibri"/>
          <w:color w:val="0000FF"/>
          <w:szCs w:val="24"/>
        </w:rPr>
        <w:t xml:space="preserve"> </w:t>
      </w:r>
      <w:hyperlink r:id="rId7" w:history="1">
        <w:r w:rsidR="00651433" w:rsidRPr="004253D7">
          <w:rPr>
            <w:rStyle w:val="Hyperlink"/>
            <w:rFonts w:ascii="Calibri" w:hAnsi="Calibri"/>
            <w:szCs w:val="24"/>
          </w:rPr>
          <w:t>Peter-Johnson</w:t>
        </w:r>
      </w:hyperlink>
      <w:r w:rsidR="00075236">
        <w:rPr>
          <w:rStyle w:val="Hyperlink"/>
          <w:rFonts w:ascii="Calibri" w:hAnsi="Calibri"/>
          <w:szCs w:val="24"/>
        </w:rPr>
        <w:t>@ouhsc.edu</w:t>
      </w:r>
    </w:p>
    <w:p w14:paraId="635D73C3" w14:textId="77777777" w:rsidR="00F75E83" w:rsidRDefault="00F75E83" w:rsidP="00C922E1">
      <w:pPr>
        <w:ind w:right="-180"/>
        <w:rPr>
          <w:rFonts w:ascii="Calibri" w:hAnsi="Calibri"/>
          <w:sz w:val="20"/>
        </w:rPr>
      </w:pPr>
    </w:p>
    <w:p w14:paraId="3C1DB24F" w14:textId="6640E9FD" w:rsidR="000B26F9" w:rsidRPr="00C922E1" w:rsidRDefault="00C922E1" w:rsidP="00C922E1">
      <w:pPr>
        <w:ind w:right="-180"/>
        <w:rPr>
          <w:rFonts w:asciiTheme="minorHAnsi" w:hAnsiTheme="minorHAnsi" w:cs="Tahoma"/>
          <w:iCs/>
        </w:rPr>
      </w:pPr>
      <w:r w:rsidRPr="00C922E1">
        <w:rPr>
          <w:rFonts w:asciiTheme="minorHAnsi" w:hAnsiTheme="minorHAnsi" w:cs="Tahoma"/>
          <w:iCs/>
        </w:rPr>
        <w:lastRenderedPageBreak/>
        <w:t xml:space="preserve">The University of Oklahoma is an EO/AA Institution </w:t>
      </w:r>
      <w:hyperlink r:id="rId8" w:history="1">
        <w:r w:rsidRPr="00C922E1">
          <w:rPr>
            <w:rStyle w:val="Hyperlink"/>
            <w:rFonts w:asciiTheme="minorHAnsi" w:hAnsiTheme="minorHAnsi" w:cs="Tahoma"/>
            <w:iCs/>
          </w:rPr>
          <w:t>http://www.ou.edu/eoo/</w:t>
        </w:r>
      </w:hyperlink>
      <w:r w:rsidRPr="00C922E1">
        <w:rPr>
          <w:rFonts w:asciiTheme="minorHAnsi" w:hAnsiTheme="minorHAnsi" w:cs="Tahoma"/>
          <w:iCs/>
        </w:rPr>
        <w:t>.  Individuals with disabilities and protected ve</w:t>
      </w:r>
      <w:r>
        <w:rPr>
          <w:rFonts w:asciiTheme="minorHAnsi" w:hAnsiTheme="minorHAnsi" w:cs="Tahoma"/>
          <w:iCs/>
        </w:rPr>
        <w:t>terans are encouraged to apply.</w:t>
      </w:r>
    </w:p>
    <w:sectPr w:rsidR="000B26F9" w:rsidRPr="00C922E1" w:rsidSect="009E57D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737B1" w14:textId="77777777" w:rsidR="00734236" w:rsidRDefault="00734236">
      <w:r>
        <w:separator/>
      </w:r>
    </w:p>
  </w:endnote>
  <w:endnote w:type="continuationSeparator" w:id="0">
    <w:p w14:paraId="7F4C9BBB" w14:textId="77777777" w:rsidR="00734236" w:rsidRDefault="0073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1661F" w14:textId="77777777" w:rsidR="00FE69F9" w:rsidRDefault="00FE69F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88F7F" w14:textId="77777777" w:rsidR="00734236" w:rsidRDefault="00734236">
      <w:r>
        <w:separator/>
      </w:r>
    </w:p>
  </w:footnote>
  <w:footnote w:type="continuationSeparator" w:id="0">
    <w:p w14:paraId="57201EDB" w14:textId="77777777" w:rsidR="00734236" w:rsidRDefault="00734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8478B"/>
    <w:multiLevelType w:val="hybridMultilevel"/>
    <w:tmpl w:val="C33AF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ED"/>
    <w:rsid w:val="00075236"/>
    <w:rsid w:val="000828D0"/>
    <w:rsid w:val="000B0A51"/>
    <w:rsid w:val="000B26F9"/>
    <w:rsid w:val="000C131F"/>
    <w:rsid w:val="000D7E94"/>
    <w:rsid w:val="00110920"/>
    <w:rsid w:val="001110EE"/>
    <w:rsid w:val="00140F0C"/>
    <w:rsid w:val="001509FB"/>
    <w:rsid w:val="00160200"/>
    <w:rsid w:val="001772A6"/>
    <w:rsid w:val="001955D8"/>
    <w:rsid w:val="001A7A49"/>
    <w:rsid w:val="001E694B"/>
    <w:rsid w:val="001F282C"/>
    <w:rsid w:val="001F5C1F"/>
    <w:rsid w:val="00216442"/>
    <w:rsid w:val="00244FC4"/>
    <w:rsid w:val="00275BC4"/>
    <w:rsid w:val="002A4DB3"/>
    <w:rsid w:val="002B69D7"/>
    <w:rsid w:val="002D79CD"/>
    <w:rsid w:val="002E014B"/>
    <w:rsid w:val="002E08B9"/>
    <w:rsid w:val="00323F85"/>
    <w:rsid w:val="003408EB"/>
    <w:rsid w:val="003416E7"/>
    <w:rsid w:val="00373BAA"/>
    <w:rsid w:val="003776F3"/>
    <w:rsid w:val="003932B3"/>
    <w:rsid w:val="003A260E"/>
    <w:rsid w:val="003C048E"/>
    <w:rsid w:val="003C71E2"/>
    <w:rsid w:val="004274AB"/>
    <w:rsid w:val="00467CC6"/>
    <w:rsid w:val="00475D63"/>
    <w:rsid w:val="004769A6"/>
    <w:rsid w:val="0048776D"/>
    <w:rsid w:val="004A1928"/>
    <w:rsid w:val="004A66AF"/>
    <w:rsid w:val="004B2098"/>
    <w:rsid w:val="004D128E"/>
    <w:rsid w:val="004D6B0B"/>
    <w:rsid w:val="004D7FB8"/>
    <w:rsid w:val="004E707D"/>
    <w:rsid w:val="0053034D"/>
    <w:rsid w:val="00561B63"/>
    <w:rsid w:val="005661EC"/>
    <w:rsid w:val="0058386B"/>
    <w:rsid w:val="00592171"/>
    <w:rsid w:val="005C363C"/>
    <w:rsid w:val="00631D38"/>
    <w:rsid w:val="0064640B"/>
    <w:rsid w:val="006509EB"/>
    <w:rsid w:val="00651433"/>
    <w:rsid w:val="00654F94"/>
    <w:rsid w:val="0068234C"/>
    <w:rsid w:val="006A1256"/>
    <w:rsid w:val="006B5300"/>
    <w:rsid w:val="006C0D0E"/>
    <w:rsid w:val="006C68BA"/>
    <w:rsid w:val="006E2C6B"/>
    <w:rsid w:val="006E46F5"/>
    <w:rsid w:val="006F6C4F"/>
    <w:rsid w:val="00731915"/>
    <w:rsid w:val="00733184"/>
    <w:rsid w:val="00734236"/>
    <w:rsid w:val="00737595"/>
    <w:rsid w:val="00763DB1"/>
    <w:rsid w:val="007831C1"/>
    <w:rsid w:val="007A39E6"/>
    <w:rsid w:val="007A65D4"/>
    <w:rsid w:val="007C5CC6"/>
    <w:rsid w:val="007F36F1"/>
    <w:rsid w:val="008253C4"/>
    <w:rsid w:val="0082794B"/>
    <w:rsid w:val="00903226"/>
    <w:rsid w:val="00911E61"/>
    <w:rsid w:val="009355FB"/>
    <w:rsid w:val="00956FE2"/>
    <w:rsid w:val="00965BD4"/>
    <w:rsid w:val="009A145F"/>
    <w:rsid w:val="009A5495"/>
    <w:rsid w:val="009C44BD"/>
    <w:rsid w:val="009D18E7"/>
    <w:rsid w:val="009E2D25"/>
    <w:rsid w:val="009E36ED"/>
    <w:rsid w:val="009E57DD"/>
    <w:rsid w:val="00A02CBC"/>
    <w:rsid w:val="00A079D1"/>
    <w:rsid w:val="00A07D04"/>
    <w:rsid w:val="00A210E8"/>
    <w:rsid w:val="00A251C9"/>
    <w:rsid w:val="00A517EC"/>
    <w:rsid w:val="00A5354F"/>
    <w:rsid w:val="00A57481"/>
    <w:rsid w:val="00A64F20"/>
    <w:rsid w:val="00A66226"/>
    <w:rsid w:val="00A822A9"/>
    <w:rsid w:val="00B43287"/>
    <w:rsid w:val="00B650DF"/>
    <w:rsid w:val="00B66D69"/>
    <w:rsid w:val="00B86B3A"/>
    <w:rsid w:val="00B95536"/>
    <w:rsid w:val="00C01303"/>
    <w:rsid w:val="00C0613B"/>
    <w:rsid w:val="00C269CD"/>
    <w:rsid w:val="00C30D45"/>
    <w:rsid w:val="00C40B00"/>
    <w:rsid w:val="00C44808"/>
    <w:rsid w:val="00C47B29"/>
    <w:rsid w:val="00C55A36"/>
    <w:rsid w:val="00C747E2"/>
    <w:rsid w:val="00C90988"/>
    <w:rsid w:val="00C922E1"/>
    <w:rsid w:val="00C92F91"/>
    <w:rsid w:val="00CB5056"/>
    <w:rsid w:val="00CD6002"/>
    <w:rsid w:val="00CE40AA"/>
    <w:rsid w:val="00CF0BD3"/>
    <w:rsid w:val="00CF4157"/>
    <w:rsid w:val="00D015CB"/>
    <w:rsid w:val="00D2610C"/>
    <w:rsid w:val="00D50B6D"/>
    <w:rsid w:val="00DB2F0E"/>
    <w:rsid w:val="00DB3507"/>
    <w:rsid w:val="00DB7130"/>
    <w:rsid w:val="00DC4E12"/>
    <w:rsid w:val="00DD3F31"/>
    <w:rsid w:val="00DD7E38"/>
    <w:rsid w:val="00E24B87"/>
    <w:rsid w:val="00E441A6"/>
    <w:rsid w:val="00E66C7F"/>
    <w:rsid w:val="00E66FCE"/>
    <w:rsid w:val="00E76FE2"/>
    <w:rsid w:val="00E838CD"/>
    <w:rsid w:val="00E958BF"/>
    <w:rsid w:val="00EA5DB7"/>
    <w:rsid w:val="00EB5EDC"/>
    <w:rsid w:val="00ED2AF0"/>
    <w:rsid w:val="00EE754E"/>
    <w:rsid w:val="00F13BDE"/>
    <w:rsid w:val="00F32CB6"/>
    <w:rsid w:val="00F32FD4"/>
    <w:rsid w:val="00F40797"/>
    <w:rsid w:val="00F46507"/>
    <w:rsid w:val="00F53FC8"/>
    <w:rsid w:val="00F75BC1"/>
    <w:rsid w:val="00F75E83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03F888E"/>
  <w15:docId w15:val="{164E23E8-6024-4150-B9AE-6BBA4F33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4B"/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36E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9E36ED"/>
    <w:rPr>
      <w:color w:val="0000FF"/>
      <w:u w:val="single"/>
    </w:rPr>
  </w:style>
  <w:style w:type="paragraph" w:styleId="Header">
    <w:name w:val="header"/>
    <w:basedOn w:val="Normal"/>
    <w:rsid w:val="00C92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2F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8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rsid w:val="00F32CB6"/>
    <w:pPr>
      <w:jc w:val="both"/>
    </w:pPr>
    <w:rPr>
      <w:rFonts w:ascii="Times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32CB6"/>
    <w:rPr>
      <w:rFonts w:ascii="Times" w:hAnsi="Times"/>
      <w:sz w:val="24"/>
    </w:rPr>
  </w:style>
  <w:style w:type="character" w:styleId="CommentReference">
    <w:name w:val="annotation reference"/>
    <w:basedOn w:val="DefaultParagraphFont"/>
    <w:semiHidden/>
    <w:unhideWhenUsed/>
    <w:rsid w:val="001A7A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A49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7A49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edu/eo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-John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Applicable Position Description: Tenure Track Clinical Faculty;Non-Tenure Track Clinical Faculty</vt:lpstr>
    </vt:vector>
  </TitlesOfParts>
  <Company>OUHSC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Applicable Position Description: Tenure Track Clinical Faculty;Non-Tenure Track Clinical Faculty</dc:title>
  <dc:creator>mobritsc</dc:creator>
  <cp:lastModifiedBy>Meder, Paula A. (HSC)</cp:lastModifiedBy>
  <cp:revision>2</cp:revision>
  <cp:lastPrinted>2008-01-16T14:55:00Z</cp:lastPrinted>
  <dcterms:created xsi:type="dcterms:W3CDTF">2019-10-16T20:39:00Z</dcterms:created>
  <dcterms:modified xsi:type="dcterms:W3CDTF">2019-10-16T20:39:00Z</dcterms:modified>
</cp:coreProperties>
</file>